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E389" w14:textId="77777777" w:rsidR="00942A70" w:rsidRPr="009570F3" w:rsidRDefault="00942A70" w:rsidP="00942A70">
      <w:pPr>
        <w:pStyle w:val="Kop3"/>
        <w:spacing w:line="276" w:lineRule="auto"/>
        <w:rPr>
          <w:rFonts w:eastAsiaTheme="minorHAnsi" w:cs="Calibri"/>
          <w:i/>
          <w:iCs/>
          <w:color w:val="521448"/>
          <w:spacing w:val="-6"/>
          <w14:ligatures w14:val="standardContextual"/>
        </w:rPr>
      </w:pPr>
      <w:r w:rsidRPr="00942A70">
        <w:rPr>
          <w:rFonts w:eastAsiaTheme="minorHAnsi" w:cs="Calibri"/>
          <w:color w:val="521448"/>
          <w:spacing w:val="-6"/>
          <w14:ligatures w14:val="standardContextual"/>
        </w:rPr>
        <w:t>Toelichting instrumenten</w:t>
      </w:r>
      <w:r w:rsidRPr="009570F3">
        <w:rPr>
          <w:rFonts w:eastAsiaTheme="minorHAnsi" w:cs="Calibri"/>
          <w:i/>
          <w:iCs/>
          <w:color w:val="521448"/>
          <w:spacing w:val="-6"/>
          <w14:ligatures w14:val="standardContextual"/>
        </w:rPr>
        <w:t xml:space="preserve"> </w:t>
      </w:r>
      <w:r w:rsidRPr="009570F3">
        <w:rPr>
          <w:i/>
          <w:iCs/>
          <w:sz w:val="16"/>
          <w:szCs w:val="16"/>
        </w:rPr>
        <w:footnoteReference w:id="1"/>
      </w:r>
    </w:p>
    <w:tbl>
      <w:tblPr>
        <w:tblStyle w:val="Tabelraster"/>
        <w:tblW w:w="0" w:type="auto"/>
        <w:tblLook w:val="04A0" w:firstRow="1" w:lastRow="0" w:firstColumn="1" w:lastColumn="0" w:noHBand="0" w:noVBand="1"/>
      </w:tblPr>
      <w:tblGrid>
        <w:gridCol w:w="279"/>
        <w:gridCol w:w="2835"/>
        <w:gridCol w:w="5948"/>
      </w:tblGrid>
      <w:tr w:rsidR="00942A70" w:rsidRPr="00942A70" w14:paraId="7610E325" w14:textId="77777777" w:rsidTr="00763237">
        <w:tc>
          <w:tcPr>
            <w:tcW w:w="279" w:type="dxa"/>
          </w:tcPr>
          <w:p w14:paraId="77A0D755" w14:textId="77777777" w:rsidR="00942A70" w:rsidRPr="00942A70" w:rsidRDefault="00942A70" w:rsidP="00763237">
            <w:pPr>
              <w:spacing w:after="40" w:line="276" w:lineRule="auto"/>
              <w:rPr>
                <w:b/>
                <w:bCs/>
                <w:sz w:val="22"/>
                <w:szCs w:val="22"/>
              </w:rPr>
            </w:pPr>
          </w:p>
        </w:tc>
        <w:tc>
          <w:tcPr>
            <w:tcW w:w="2835" w:type="dxa"/>
          </w:tcPr>
          <w:p w14:paraId="7071CC8A" w14:textId="77777777" w:rsidR="00942A70" w:rsidRPr="00942A70" w:rsidRDefault="00942A70" w:rsidP="00763237">
            <w:pPr>
              <w:spacing w:after="40" w:line="276" w:lineRule="auto"/>
              <w:rPr>
                <w:b/>
                <w:bCs/>
                <w:sz w:val="22"/>
                <w:szCs w:val="22"/>
              </w:rPr>
            </w:pPr>
            <w:r w:rsidRPr="00942A70">
              <w:rPr>
                <w:b/>
                <w:bCs/>
                <w:sz w:val="22"/>
                <w:szCs w:val="22"/>
              </w:rPr>
              <w:t>Instrument</w:t>
            </w:r>
          </w:p>
        </w:tc>
        <w:tc>
          <w:tcPr>
            <w:tcW w:w="5948" w:type="dxa"/>
          </w:tcPr>
          <w:p w14:paraId="58C0C34A" w14:textId="77777777" w:rsidR="00942A70" w:rsidRPr="00942A70" w:rsidRDefault="00942A70" w:rsidP="00763237">
            <w:pPr>
              <w:spacing w:after="40" w:line="276" w:lineRule="auto"/>
              <w:rPr>
                <w:b/>
                <w:bCs/>
                <w:sz w:val="22"/>
                <w:szCs w:val="22"/>
              </w:rPr>
            </w:pPr>
            <w:r w:rsidRPr="00942A70">
              <w:rPr>
                <w:b/>
                <w:bCs/>
                <w:sz w:val="22"/>
                <w:szCs w:val="22"/>
              </w:rPr>
              <w:t>Wat is het?</w:t>
            </w:r>
          </w:p>
        </w:tc>
      </w:tr>
      <w:tr w:rsidR="00942A70" w:rsidRPr="00942A70" w14:paraId="69F6C049" w14:textId="77777777" w:rsidTr="00763237">
        <w:tc>
          <w:tcPr>
            <w:tcW w:w="279" w:type="dxa"/>
            <w:shd w:val="clear" w:color="auto" w:fill="EE0000"/>
          </w:tcPr>
          <w:p w14:paraId="00E6E68D" w14:textId="77777777" w:rsidR="00942A70" w:rsidRPr="00942A70" w:rsidRDefault="00942A70" w:rsidP="00763237">
            <w:pPr>
              <w:spacing w:after="40" w:line="276" w:lineRule="auto"/>
              <w:rPr>
                <w:sz w:val="22"/>
                <w:szCs w:val="22"/>
              </w:rPr>
            </w:pPr>
          </w:p>
        </w:tc>
        <w:tc>
          <w:tcPr>
            <w:tcW w:w="2835" w:type="dxa"/>
          </w:tcPr>
          <w:p w14:paraId="3527561D" w14:textId="77777777" w:rsidR="00942A70" w:rsidRPr="00942A70" w:rsidRDefault="00942A70" w:rsidP="00763237">
            <w:pPr>
              <w:spacing w:after="40" w:line="276" w:lineRule="auto"/>
              <w:rPr>
                <w:sz w:val="22"/>
                <w:szCs w:val="22"/>
              </w:rPr>
            </w:pPr>
            <w:hyperlink r:id="rId7" w:history="1">
              <w:r w:rsidRPr="00942A70">
                <w:rPr>
                  <w:rStyle w:val="Hyperlink"/>
                  <w:sz w:val="22"/>
                  <w:szCs w:val="22"/>
                </w:rPr>
                <w:t>Meldcode</w:t>
              </w:r>
            </w:hyperlink>
          </w:p>
        </w:tc>
        <w:tc>
          <w:tcPr>
            <w:tcW w:w="5948" w:type="dxa"/>
          </w:tcPr>
          <w:p w14:paraId="411F546D" w14:textId="77777777" w:rsidR="00942A70" w:rsidRPr="00942A70" w:rsidRDefault="00942A70" w:rsidP="00763237">
            <w:pPr>
              <w:spacing w:after="40" w:line="276" w:lineRule="auto"/>
              <w:rPr>
                <w:sz w:val="22"/>
                <w:szCs w:val="22"/>
              </w:rPr>
            </w:pPr>
            <w:r w:rsidRPr="00942A70">
              <w:rPr>
                <w:sz w:val="22"/>
                <w:szCs w:val="22"/>
              </w:rPr>
              <w:t>Stappenplan bij signalen of vermoedens van huiselijk geweld en kindermishandeling.</w:t>
            </w:r>
          </w:p>
        </w:tc>
      </w:tr>
      <w:tr w:rsidR="00942A70" w:rsidRPr="00942A70" w14:paraId="3D554D05" w14:textId="77777777" w:rsidTr="00763237">
        <w:tc>
          <w:tcPr>
            <w:tcW w:w="279" w:type="dxa"/>
            <w:shd w:val="clear" w:color="auto" w:fill="EE0000"/>
          </w:tcPr>
          <w:p w14:paraId="3A3B9B38" w14:textId="77777777" w:rsidR="00942A70" w:rsidRPr="00942A70" w:rsidRDefault="00942A70" w:rsidP="00763237">
            <w:pPr>
              <w:spacing w:after="40" w:line="276" w:lineRule="auto"/>
              <w:rPr>
                <w:sz w:val="22"/>
                <w:szCs w:val="22"/>
              </w:rPr>
            </w:pPr>
          </w:p>
        </w:tc>
        <w:tc>
          <w:tcPr>
            <w:tcW w:w="2835" w:type="dxa"/>
          </w:tcPr>
          <w:p w14:paraId="1BBE7FFF" w14:textId="77777777" w:rsidR="00942A70" w:rsidRPr="00942A70" w:rsidRDefault="00942A70" w:rsidP="00763237">
            <w:pPr>
              <w:spacing w:after="40" w:line="276" w:lineRule="auto"/>
              <w:rPr>
                <w:sz w:val="22"/>
                <w:szCs w:val="22"/>
              </w:rPr>
            </w:pPr>
            <w:hyperlink r:id="rId8" w:history="1">
              <w:r w:rsidRPr="00942A70">
                <w:rPr>
                  <w:rStyle w:val="Hyperlink"/>
                  <w:sz w:val="22"/>
                  <w:szCs w:val="22"/>
                </w:rPr>
                <w:t>Signalenkaart</w:t>
              </w:r>
            </w:hyperlink>
            <w:r w:rsidRPr="00942A70">
              <w:rPr>
                <w:sz w:val="22"/>
                <w:szCs w:val="22"/>
              </w:rPr>
              <w:t xml:space="preserve"> </w:t>
            </w:r>
          </w:p>
        </w:tc>
        <w:tc>
          <w:tcPr>
            <w:tcW w:w="5948" w:type="dxa"/>
          </w:tcPr>
          <w:p w14:paraId="76412C81" w14:textId="77777777" w:rsidR="00942A70" w:rsidRPr="00942A70" w:rsidRDefault="00942A70" w:rsidP="00763237">
            <w:pPr>
              <w:spacing w:after="40" w:line="276" w:lineRule="auto"/>
              <w:rPr>
                <w:sz w:val="22"/>
                <w:szCs w:val="22"/>
              </w:rPr>
            </w:pPr>
            <w:r w:rsidRPr="00942A70">
              <w:rPr>
                <w:sz w:val="22"/>
                <w:szCs w:val="22"/>
              </w:rPr>
              <w:t>Instrument om signalen van huiselijk geweld en risicofactoren te inventariseren en te gebruiken in de meldcode. (</w:t>
            </w:r>
            <w:proofErr w:type="spellStart"/>
            <w:r w:rsidRPr="00942A70">
              <w:rPr>
                <w:i/>
                <w:iCs/>
                <w:sz w:val="22"/>
                <w:szCs w:val="22"/>
              </w:rPr>
              <w:t>Kadera</w:t>
            </w:r>
            <w:proofErr w:type="spellEnd"/>
            <w:r w:rsidRPr="00942A70">
              <w:rPr>
                <w:i/>
                <w:iCs/>
                <w:sz w:val="22"/>
                <w:szCs w:val="22"/>
              </w:rPr>
              <w:t>)</w:t>
            </w:r>
          </w:p>
        </w:tc>
      </w:tr>
      <w:tr w:rsidR="00942A70" w:rsidRPr="00942A70" w14:paraId="669836DA" w14:textId="77777777" w:rsidTr="00763237">
        <w:tc>
          <w:tcPr>
            <w:tcW w:w="279" w:type="dxa"/>
            <w:shd w:val="clear" w:color="auto" w:fill="EE0000"/>
          </w:tcPr>
          <w:p w14:paraId="0C7891E9" w14:textId="77777777" w:rsidR="00942A70" w:rsidRPr="00942A70" w:rsidRDefault="00942A70" w:rsidP="00763237">
            <w:pPr>
              <w:spacing w:after="40" w:line="276" w:lineRule="auto"/>
              <w:rPr>
                <w:sz w:val="22"/>
                <w:szCs w:val="22"/>
              </w:rPr>
            </w:pPr>
          </w:p>
        </w:tc>
        <w:tc>
          <w:tcPr>
            <w:tcW w:w="2835" w:type="dxa"/>
          </w:tcPr>
          <w:p w14:paraId="08824A00" w14:textId="77777777" w:rsidR="00942A70" w:rsidRPr="00942A70" w:rsidRDefault="00942A70" w:rsidP="00763237">
            <w:pPr>
              <w:spacing w:after="40" w:line="276" w:lineRule="auto"/>
              <w:rPr>
                <w:sz w:val="22"/>
                <w:szCs w:val="22"/>
              </w:rPr>
            </w:pPr>
            <w:hyperlink r:id="rId9" w:history="1">
              <w:r w:rsidRPr="00942A70">
                <w:rPr>
                  <w:rStyle w:val="Hyperlink"/>
                  <w:sz w:val="22"/>
                  <w:szCs w:val="22"/>
                </w:rPr>
                <w:t>Triage Instrument Veilig Thuis</w:t>
              </w:r>
            </w:hyperlink>
          </w:p>
        </w:tc>
        <w:tc>
          <w:tcPr>
            <w:tcW w:w="5948" w:type="dxa"/>
          </w:tcPr>
          <w:p w14:paraId="095D97E1" w14:textId="77777777" w:rsidR="00942A70" w:rsidRPr="00942A70" w:rsidRDefault="00942A70" w:rsidP="00763237">
            <w:pPr>
              <w:spacing w:after="40" w:line="276" w:lineRule="auto"/>
              <w:rPr>
                <w:sz w:val="22"/>
                <w:szCs w:val="22"/>
              </w:rPr>
            </w:pPr>
            <w:r w:rsidRPr="00942A70">
              <w:rPr>
                <w:sz w:val="22"/>
                <w:szCs w:val="22"/>
              </w:rPr>
              <w:t>Triage instrument van Veilig Thuis. Voor het wegen van de aard, ernst en urgentie van huiselijk geweld en kindermishandeling.</w:t>
            </w:r>
          </w:p>
        </w:tc>
      </w:tr>
      <w:tr w:rsidR="00942A70" w:rsidRPr="00942A70" w14:paraId="62794C07" w14:textId="77777777" w:rsidTr="00763237">
        <w:tc>
          <w:tcPr>
            <w:tcW w:w="279" w:type="dxa"/>
            <w:shd w:val="clear" w:color="auto" w:fill="EE0000"/>
          </w:tcPr>
          <w:p w14:paraId="787D3829" w14:textId="77777777" w:rsidR="00942A70" w:rsidRPr="00942A70" w:rsidRDefault="00942A70" w:rsidP="00763237">
            <w:pPr>
              <w:spacing w:after="40" w:line="276" w:lineRule="auto"/>
              <w:rPr>
                <w:sz w:val="22"/>
                <w:szCs w:val="22"/>
              </w:rPr>
            </w:pPr>
          </w:p>
        </w:tc>
        <w:tc>
          <w:tcPr>
            <w:tcW w:w="2835" w:type="dxa"/>
          </w:tcPr>
          <w:p w14:paraId="76E07D78" w14:textId="77777777" w:rsidR="00942A70" w:rsidRPr="00942A70" w:rsidRDefault="00942A70" w:rsidP="00763237">
            <w:pPr>
              <w:spacing w:after="40" w:line="276" w:lineRule="auto"/>
              <w:rPr>
                <w:sz w:val="22"/>
                <w:szCs w:val="22"/>
              </w:rPr>
            </w:pPr>
            <w:hyperlink r:id="rId10" w:history="1">
              <w:r w:rsidRPr="00942A70">
                <w:rPr>
                  <w:rStyle w:val="Hyperlink"/>
                  <w:sz w:val="22"/>
                  <w:szCs w:val="22"/>
                </w:rPr>
                <w:t>Risicoscreening Geweld in Afhankelijkheidsrelaties (GIA)</w:t>
              </w:r>
            </w:hyperlink>
          </w:p>
        </w:tc>
        <w:tc>
          <w:tcPr>
            <w:tcW w:w="5948" w:type="dxa"/>
          </w:tcPr>
          <w:p w14:paraId="1D3A591C" w14:textId="77777777" w:rsidR="00942A70" w:rsidRPr="00942A70" w:rsidRDefault="00942A70" w:rsidP="00763237">
            <w:pPr>
              <w:spacing w:after="40" w:line="276" w:lineRule="auto"/>
              <w:rPr>
                <w:sz w:val="22"/>
                <w:szCs w:val="22"/>
              </w:rPr>
            </w:pPr>
            <w:r w:rsidRPr="00942A70">
              <w:rPr>
                <w:sz w:val="22"/>
                <w:szCs w:val="22"/>
              </w:rPr>
              <w:t xml:space="preserve">Risicoscreening voor slachtoffers die zich bij een opvang instelling melden. Het instrument helpt risico’s in kaart te brengen en geeft inzicht in de veiligheidssituatie van de cliënt. </w:t>
            </w:r>
          </w:p>
        </w:tc>
      </w:tr>
      <w:tr w:rsidR="00942A70" w:rsidRPr="00942A70" w14:paraId="056927D5" w14:textId="77777777" w:rsidTr="00763237">
        <w:tc>
          <w:tcPr>
            <w:tcW w:w="279" w:type="dxa"/>
            <w:shd w:val="clear" w:color="auto" w:fill="EE0000"/>
          </w:tcPr>
          <w:p w14:paraId="6266A5F9" w14:textId="77777777" w:rsidR="00942A70" w:rsidRPr="00942A70" w:rsidRDefault="00942A70" w:rsidP="00763237">
            <w:pPr>
              <w:spacing w:after="40" w:line="276" w:lineRule="auto"/>
              <w:rPr>
                <w:sz w:val="22"/>
                <w:szCs w:val="22"/>
              </w:rPr>
            </w:pPr>
          </w:p>
        </w:tc>
        <w:tc>
          <w:tcPr>
            <w:tcW w:w="2835" w:type="dxa"/>
          </w:tcPr>
          <w:p w14:paraId="16FA1DD9" w14:textId="77777777" w:rsidR="00942A70" w:rsidRPr="00942A70" w:rsidRDefault="00942A70" w:rsidP="00763237">
            <w:pPr>
              <w:spacing w:after="40" w:line="276" w:lineRule="auto"/>
              <w:rPr>
                <w:sz w:val="22"/>
                <w:szCs w:val="22"/>
              </w:rPr>
            </w:pPr>
            <w:hyperlink r:id="rId11" w:history="1">
              <w:r w:rsidRPr="00942A70">
                <w:rPr>
                  <w:rStyle w:val="Hyperlink"/>
                  <w:sz w:val="22"/>
                  <w:szCs w:val="22"/>
                  <w:lang w:val="en-US"/>
                </w:rPr>
                <w:t>NICHD (kind-interview)</w:t>
              </w:r>
            </w:hyperlink>
          </w:p>
        </w:tc>
        <w:tc>
          <w:tcPr>
            <w:tcW w:w="5948" w:type="dxa"/>
          </w:tcPr>
          <w:p w14:paraId="1457BFE3" w14:textId="77777777" w:rsidR="00942A70" w:rsidRPr="00942A70" w:rsidRDefault="00942A70" w:rsidP="00763237">
            <w:pPr>
              <w:spacing w:after="40" w:line="276" w:lineRule="auto"/>
              <w:rPr>
                <w:sz w:val="22"/>
                <w:szCs w:val="22"/>
              </w:rPr>
            </w:pPr>
            <w:r w:rsidRPr="00942A70">
              <w:rPr>
                <w:sz w:val="22"/>
                <w:szCs w:val="22"/>
              </w:rPr>
              <w:t>Het NICHD-</w:t>
            </w:r>
            <w:proofErr w:type="spellStart"/>
            <w:r w:rsidRPr="00942A70">
              <w:rPr>
                <w:sz w:val="22"/>
                <w:szCs w:val="22"/>
              </w:rPr>
              <w:t>kindinterview</w:t>
            </w:r>
            <w:proofErr w:type="spellEnd"/>
            <w:r w:rsidRPr="00942A70">
              <w:rPr>
                <w:sz w:val="22"/>
                <w:szCs w:val="22"/>
              </w:rPr>
              <w:t xml:space="preserve"> protocol is geschikt voor feitenonderzoek naar alle vormen van kindermishandeling</w:t>
            </w:r>
          </w:p>
        </w:tc>
      </w:tr>
      <w:tr w:rsidR="00942A70" w:rsidRPr="00942A70" w14:paraId="37AAF7EB" w14:textId="77777777" w:rsidTr="00763237">
        <w:tc>
          <w:tcPr>
            <w:tcW w:w="279" w:type="dxa"/>
            <w:shd w:val="clear" w:color="auto" w:fill="EE0000"/>
          </w:tcPr>
          <w:p w14:paraId="2E29CAFB" w14:textId="77777777" w:rsidR="00942A70" w:rsidRPr="00942A70" w:rsidRDefault="00942A70" w:rsidP="00763237">
            <w:pPr>
              <w:spacing w:after="40" w:line="276" w:lineRule="auto"/>
              <w:rPr>
                <w:sz w:val="22"/>
                <w:szCs w:val="22"/>
              </w:rPr>
            </w:pPr>
          </w:p>
        </w:tc>
        <w:tc>
          <w:tcPr>
            <w:tcW w:w="2835" w:type="dxa"/>
          </w:tcPr>
          <w:p w14:paraId="145CC64B" w14:textId="77777777" w:rsidR="00942A70" w:rsidRPr="00942A70" w:rsidRDefault="00942A70" w:rsidP="00763237">
            <w:pPr>
              <w:spacing w:after="40" w:line="276" w:lineRule="auto"/>
              <w:rPr>
                <w:sz w:val="22"/>
                <w:szCs w:val="22"/>
              </w:rPr>
            </w:pPr>
            <w:hyperlink r:id="rId12" w:history="1">
              <w:proofErr w:type="spellStart"/>
              <w:r w:rsidRPr="00942A70">
                <w:rPr>
                  <w:rStyle w:val="Hyperlink"/>
                  <w:sz w:val="22"/>
                  <w:szCs w:val="22"/>
                </w:rPr>
                <w:t>Masic</w:t>
              </w:r>
              <w:proofErr w:type="spellEnd"/>
            </w:hyperlink>
          </w:p>
        </w:tc>
        <w:tc>
          <w:tcPr>
            <w:tcW w:w="5948" w:type="dxa"/>
          </w:tcPr>
          <w:p w14:paraId="462FED2F" w14:textId="77777777" w:rsidR="00942A70" w:rsidRPr="00942A70" w:rsidRDefault="00942A70" w:rsidP="00763237">
            <w:pPr>
              <w:spacing w:after="40" w:line="276" w:lineRule="auto"/>
              <w:rPr>
                <w:sz w:val="22"/>
                <w:szCs w:val="22"/>
              </w:rPr>
            </w:pPr>
            <w:r w:rsidRPr="00942A70">
              <w:rPr>
                <w:sz w:val="22"/>
                <w:szCs w:val="22"/>
              </w:rPr>
              <w:t xml:space="preserve">Screeningsinstrument voor partnergeweld, o.a. bij (conflict)scheiding en dwingend controlerend gedrag. </w:t>
            </w:r>
          </w:p>
        </w:tc>
      </w:tr>
      <w:tr w:rsidR="00942A70" w:rsidRPr="00942A70" w14:paraId="6F137337" w14:textId="77777777" w:rsidTr="00763237">
        <w:trPr>
          <w:trHeight w:val="515"/>
        </w:trPr>
        <w:tc>
          <w:tcPr>
            <w:tcW w:w="279" w:type="dxa"/>
            <w:shd w:val="clear" w:color="auto" w:fill="EE0000"/>
          </w:tcPr>
          <w:p w14:paraId="34F5D607" w14:textId="77777777" w:rsidR="00942A70" w:rsidRPr="00942A70" w:rsidRDefault="00942A70" w:rsidP="00763237">
            <w:pPr>
              <w:spacing w:after="40" w:line="276" w:lineRule="auto"/>
              <w:rPr>
                <w:sz w:val="22"/>
                <w:szCs w:val="22"/>
              </w:rPr>
            </w:pPr>
          </w:p>
        </w:tc>
        <w:tc>
          <w:tcPr>
            <w:tcW w:w="2835" w:type="dxa"/>
            <w:vMerge w:val="restart"/>
          </w:tcPr>
          <w:p w14:paraId="56209459" w14:textId="77777777" w:rsidR="00942A70" w:rsidRPr="00942A70" w:rsidRDefault="00942A70" w:rsidP="00763237">
            <w:pPr>
              <w:spacing w:after="40" w:line="276" w:lineRule="auto"/>
              <w:rPr>
                <w:sz w:val="22"/>
                <w:szCs w:val="22"/>
              </w:rPr>
            </w:pPr>
            <w:hyperlink r:id="rId13" w:history="1">
              <w:r w:rsidRPr="00942A70">
                <w:rPr>
                  <w:rStyle w:val="Hyperlink"/>
                  <w:sz w:val="22"/>
                  <w:szCs w:val="22"/>
                </w:rPr>
                <w:t>Top-3 plannen</w:t>
              </w:r>
            </w:hyperlink>
          </w:p>
        </w:tc>
        <w:tc>
          <w:tcPr>
            <w:tcW w:w="5948" w:type="dxa"/>
            <w:vMerge w:val="restart"/>
          </w:tcPr>
          <w:p w14:paraId="3AE7F0F3" w14:textId="77777777" w:rsidR="00942A70" w:rsidRPr="00942A70" w:rsidRDefault="00942A70" w:rsidP="00763237">
            <w:pPr>
              <w:spacing w:after="40" w:line="276" w:lineRule="auto"/>
              <w:rPr>
                <w:sz w:val="22"/>
                <w:szCs w:val="22"/>
              </w:rPr>
            </w:pPr>
            <w:r w:rsidRPr="00942A70">
              <w:rPr>
                <w:sz w:val="22"/>
                <w:szCs w:val="22"/>
              </w:rPr>
              <w:t xml:space="preserve">Methode gebaseerd op het gefaseerd samenwerken aan veiligheid bij structureel relationeel geweld. Voor het maken van een veiligheidsplan, een plan voor </w:t>
            </w:r>
            <w:proofErr w:type="spellStart"/>
            <w:r w:rsidRPr="00942A70">
              <w:rPr>
                <w:sz w:val="22"/>
                <w:szCs w:val="22"/>
              </w:rPr>
              <w:t>risicogestuurde</w:t>
            </w:r>
            <w:proofErr w:type="spellEnd"/>
            <w:r w:rsidRPr="00942A70">
              <w:rPr>
                <w:sz w:val="22"/>
                <w:szCs w:val="22"/>
              </w:rPr>
              <w:t xml:space="preserve"> zorg en een plan voor herstel. </w:t>
            </w:r>
          </w:p>
        </w:tc>
      </w:tr>
      <w:tr w:rsidR="00942A70" w:rsidRPr="00942A70" w14:paraId="12B0E8B2" w14:textId="77777777" w:rsidTr="00763237">
        <w:trPr>
          <w:trHeight w:val="268"/>
        </w:trPr>
        <w:tc>
          <w:tcPr>
            <w:tcW w:w="279" w:type="dxa"/>
            <w:shd w:val="clear" w:color="auto" w:fill="227ACB"/>
          </w:tcPr>
          <w:p w14:paraId="5837F61F" w14:textId="77777777" w:rsidR="00942A70" w:rsidRPr="00942A70" w:rsidRDefault="00942A70" w:rsidP="00763237">
            <w:pPr>
              <w:spacing w:after="40" w:line="276" w:lineRule="auto"/>
              <w:rPr>
                <w:sz w:val="22"/>
                <w:szCs w:val="22"/>
              </w:rPr>
            </w:pPr>
          </w:p>
        </w:tc>
        <w:tc>
          <w:tcPr>
            <w:tcW w:w="2835" w:type="dxa"/>
            <w:vMerge/>
          </w:tcPr>
          <w:p w14:paraId="75E9E7E3" w14:textId="77777777" w:rsidR="00942A70" w:rsidRPr="00942A70" w:rsidRDefault="00942A70" w:rsidP="00763237">
            <w:pPr>
              <w:spacing w:after="40" w:line="276" w:lineRule="auto"/>
              <w:rPr>
                <w:sz w:val="22"/>
                <w:szCs w:val="22"/>
              </w:rPr>
            </w:pPr>
          </w:p>
        </w:tc>
        <w:tc>
          <w:tcPr>
            <w:tcW w:w="5948" w:type="dxa"/>
            <w:vMerge/>
          </w:tcPr>
          <w:p w14:paraId="2971ED7F" w14:textId="77777777" w:rsidR="00942A70" w:rsidRPr="00942A70" w:rsidRDefault="00942A70" w:rsidP="00763237">
            <w:pPr>
              <w:spacing w:after="40" w:line="276" w:lineRule="auto"/>
              <w:rPr>
                <w:sz w:val="22"/>
                <w:szCs w:val="22"/>
              </w:rPr>
            </w:pPr>
          </w:p>
        </w:tc>
      </w:tr>
      <w:tr w:rsidR="00942A70" w:rsidRPr="00942A70" w14:paraId="12BE84C4" w14:textId="77777777" w:rsidTr="00763237">
        <w:trPr>
          <w:trHeight w:val="38"/>
        </w:trPr>
        <w:tc>
          <w:tcPr>
            <w:tcW w:w="279" w:type="dxa"/>
            <w:shd w:val="clear" w:color="auto" w:fill="29B95C"/>
          </w:tcPr>
          <w:p w14:paraId="27DBBA0D" w14:textId="77777777" w:rsidR="00942A70" w:rsidRPr="00942A70" w:rsidRDefault="00942A70" w:rsidP="00763237">
            <w:pPr>
              <w:spacing w:after="40" w:line="276" w:lineRule="auto"/>
              <w:rPr>
                <w:sz w:val="22"/>
                <w:szCs w:val="22"/>
              </w:rPr>
            </w:pPr>
          </w:p>
        </w:tc>
        <w:tc>
          <w:tcPr>
            <w:tcW w:w="2835" w:type="dxa"/>
            <w:vMerge/>
          </w:tcPr>
          <w:p w14:paraId="337D3FD8" w14:textId="77777777" w:rsidR="00942A70" w:rsidRPr="00942A70" w:rsidRDefault="00942A70" w:rsidP="00763237">
            <w:pPr>
              <w:spacing w:after="40" w:line="276" w:lineRule="auto"/>
              <w:rPr>
                <w:sz w:val="22"/>
                <w:szCs w:val="22"/>
              </w:rPr>
            </w:pPr>
          </w:p>
        </w:tc>
        <w:tc>
          <w:tcPr>
            <w:tcW w:w="5948" w:type="dxa"/>
            <w:vMerge/>
          </w:tcPr>
          <w:p w14:paraId="67070102" w14:textId="77777777" w:rsidR="00942A70" w:rsidRPr="00942A70" w:rsidRDefault="00942A70" w:rsidP="00763237">
            <w:pPr>
              <w:spacing w:after="40" w:line="276" w:lineRule="auto"/>
              <w:rPr>
                <w:sz w:val="22"/>
                <w:szCs w:val="22"/>
              </w:rPr>
            </w:pPr>
          </w:p>
        </w:tc>
      </w:tr>
      <w:tr w:rsidR="00942A70" w:rsidRPr="00942A70" w14:paraId="517A84FB" w14:textId="77777777" w:rsidTr="00763237">
        <w:tc>
          <w:tcPr>
            <w:tcW w:w="279" w:type="dxa"/>
            <w:shd w:val="clear" w:color="auto" w:fill="EE0000"/>
          </w:tcPr>
          <w:p w14:paraId="31F82148" w14:textId="77777777" w:rsidR="00942A70" w:rsidRPr="00942A70" w:rsidRDefault="00942A70" w:rsidP="00763237">
            <w:pPr>
              <w:spacing w:after="40" w:line="276" w:lineRule="auto"/>
              <w:rPr>
                <w:sz w:val="22"/>
                <w:szCs w:val="22"/>
              </w:rPr>
            </w:pPr>
          </w:p>
        </w:tc>
        <w:tc>
          <w:tcPr>
            <w:tcW w:w="2835" w:type="dxa"/>
          </w:tcPr>
          <w:p w14:paraId="172184FA" w14:textId="77777777" w:rsidR="00942A70" w:rsidRPr="00942A70" w:rsidRDefault="00942A70" w:rsidP="00763237">
            <w:pPr>
              <w:spacing w:after="40" w:line="276" w:lineRule="auto"/>
              <w:rPr>
                <w:sz w:val="22"/>
                <w:szCs w:val="22"/>
                <w:lang w:val="en-US"/>
              </w:rPr>
            </w:pPr>
            <w:hyperlink r:id="rId14" w:history="1">
              <w:r w:rsidRPr="00942A70">
                <w:rPr>
                  <w:rStyle w:val="Hyperlink"/>
                  <w:sz w:val="22"/>
                  <w:szCs w:val="22"/>
                  <w:lang w:val="en-US"/>
                </w:rPr>
                <w:t>Signs of safety</w:t>
              </w:r>
            </w:hyperlink>
          </w:p>
        </w:tc>
        <w:tc>
          <w:tcPr>
            <w:tcW w:w="5948" w:type="dxa"/>
          </w:tcPr>
          <w:p w14:paraId="7BF718AC" w14:textId="77777777" w:rsidR="00942A70" w:rsidRPr="00942A70" w:rsidRDefault="00942A70" w:rsidP="00763237">
            <w:pPr>
              <w:spacing w:after="40" w:line="276" w:lineRule="auto"/>
              <w:rPr>
                <w:sz w:val="22"/>
                <w:szCs w:val="22"/>
              </w:rPr>
            </w:pPr>
            <w:r w:rsidRPr="00942A70">
              <w:rPr>
                <w:sz w:val="22"/>
                <w:szCs w:val="22"/>
              </w:rPr>
              <w:t>Een oplossingsgerichte benadering voor het organiseren van veiligheid voor kinderen in situaties waar sprake is van (een vermoeden van) kindermishandeling.</w:t>
            </w:r>
          </w:p>
        </w:tc>
      </w:tr>
      <w:tr w:rsidR="00942A70" w:rsidRPr="00942A70" w14:paraId="4C618795" w14:textId="77777777" w:rsidTr="00763237">
        <w:trPr>
          <w:trHeight w:val="458"/>
        </w:trPr>
        <w:tc>
          <w:tcPr>
            <w:tcW w:w="279" w:type="dxa"/>
            <w:shd w:val="clear" w:color="auto" w:fill="EE0000"/>
          </w:tcPr>
          <w:p w14:paraId="644C6CD2" w14:textId="77777777" w:rsidR="00942A70" w:rsidRPr="00942A70" w:rsidRDefault="00942A70" w:rsidP="00763237">
            <w:pPr>
              <w:spacing w:after="40" w:line="276" w:lineRule="auto"/>
              <w:rPr>
                <w:sz w:val="22"/>
                <w:szCs w:val="22"/>
              </w:rPr>
            </w:pPr>
          </w:p>
        </w:tc>
        <w:tc>
          <w:tcPr>
            <w:tcW w:w="2835" w:type="dxa"/>
            <w:vMerge w:val="restart"/>
          </w:tcPr>
          <w:p w14:paraId="62F793BF" w14:textId="77777777" w:rsidR="00942A70" w:rsidRPr="00942A70" w:rsidRDefault="00942A70" w:rsidP="00763237">
            <w:pPr>
              <w:spacing w:after="40" w:line="276" w:lineRule="auto"/>
              <w:rPr>
                <w:sz w:val="22"/>
                <w:szCs w:val="22"/>
                <w:lang w:val="en-US"/>
              </w:rPr>
            </w:pPr>
            <w:hyperlink r:id="rId15" w:history="1">
              <w:proofErr w:type="spellStart"/>
              <w:r w:rsidRPr="00942A70">
                <w:rPr>
                  <w:rStyle w:val="Hyperlink"/>
                  <w:sz w:val="22"/>
                  <w:szCs w:val="22"/>
                  <w:lang w:val="en-US"/>
                </w:rPr>
                <w:t>Gezinsprofielen</w:t>
              </w:r>
              <w:proofErr w:type="spellEnd"/>
            </w:hyperlink>
          </w:p>
        </w:tc>
        <w:tc>
          <w:tcPr>
            <w:tcW w:w="5948" w:type="dxa"/>
            <w:vMerge w:val="restart"/>
          </w:tcPr>
          <w:p w14:paraId="4EEBEFF6" w14:textId="77777777" w:rsidR="00942A70" w:rsidRPr="00942A70" w:rsidRDefault="00942A70" w:rsidP="00763237">
            <w:pPr>
              <w:spacing w:after="40" w:line="276" w:lineRule="auto"/>
              <w:rPr>
                <w:sz w:val="22"/>
                <w:szCs w:val="22"/>
              </w:rPr>
            </w:pPr>
            <w:r w:rsidRPr="00942A70">
              <w:rPr>
                <w:sz w:val="22"/>
                <w:szCs w:val="22"/>
              </w:rPr>
              <w:t>Vijf patronen achter gezinsgeweld zijn geanalyseerd en vereenvoudigd tot vijf gezinsprofielen. Het herkennen van deze profielen helpt bij het begrijpen van wat er speelt en voor welke hulp nodig is.</w:t>
            </w:r>
          </w:p>
        </w:tc>
      </w:tr>
      <w:tr w:rsidR="00942A70" w:rsidRPr="00942A70" w14:paraId="2BB4050E" w14:textId="77777777" w:rsidTr="00763237">
        <w:trPr>
          <w:trHeight w:val="317"/>
        </w:trPr>
        <w:tc>
          <w:tcPr>
            <w:tcW w:w="279" w:type="dxa"/>
            <w:shd w:val="clear" w:color="auto" w:fill="227ACB"/>
          </w:tcPr>
          <w:p w14:paraId="549B4974" w14:textId="77777777" w:rsidR="00942A70" w:rsidRPr="00942A70" w:rsidRDefault="00942A70" w:rsidP="00763237">
            <w:pPr>
              <w:spacing w:after="40" w:line="276" w:lineRule="auto"/>
              <w:rPr>
                <w:sz w:val="22"/>
                <w:szCs w:val="22"/>
              </w:rPr>
            </w:pPr>
          </w:p>
        </w:tc>
        <w:tc>
          <w:tcPr>
            <w:tcW w:w="2835" w:type="dxa"/>
            <w:vMerge/>
          </w:tcPr>
          <w:p w14:paraId="645DB750" w14:textId="77777777" w:rsidR="00942A70" w:rsidRPr="00942A70" w:rsidRDefault="00942A70" w:rsidP="00763237">
            <w:pPr>
              <w:spacing w:after="40" w:line="276" w:lineRule="auto"/>
              <w:rPr>
                <w:sz w:val="22"/>
                <w:szCs w:val="22"/>
              </w:rPr>
            </w:pPr>
          </w:p>
        </w:tc>
        <w:tc>
          <w:tcPr>
            <w:tcW w:w="5948" w:type="dxa"/>
            <w:vMerge/>
          </w:tcPr>
          <w:p w14:paraId="7A4E5F89" w14:textId="77777777" w:rsidR="00942A70" w:rsidRPr="00942A70" w:rsidRDefault="00942A70" w:rsidP="00763237">
            <w:pPr>
              <w:spacing w:after="40" w:line="276" w:lineRule="auto"/>
              <w:rPr>
                <w:sz w:val="22"/>
                <w:szCs w:val="22"/>
              </w:rPr>
            </w:pPr>
          </w:p>
        </w:tc>
      </w:tr>
      <w:tr w:rsidR="00942A70" w:rsidRPr="00942A70" w14:paraId="66B8FCD5" w14:textId="77777777" w:rsidTr="00763237">
        <w:tc>
          <w:tcPr>
            <w:tcW w:w="279" w:type="dxa"/>
            <w:shd w:val="clear" w:color="auto" w:fill="0070C0"/>
          </w:tcPr>
          <w:p w14:paraId="3432AE59" w14:textId="77777777" w:rsidR="00942A70" w:rsidRPr="00942A70" w:rsidRDefault="00942A70" w:rsidP="00763237">
            <w:pPr>
              <w:spacing w:after="40" w:line="276" w:lineRule="auto"/>
              <w:rPr>
                <w:sz w:val="22"/>
                <w:szCs w:val="22"/>
              </w:rPr>
            </w:pPr>
          </w:p>
        </w:tc>
        <w:tc>
          <w:tcPr>
            <w:tcW w:w="2835" w:type="dxa"/>
          </w:tcPr>
          <w:p w14:paraId="17575205" w14:textId="77777777" w:rsidR="00942A70" w:rsidRPr="00942A70" w:rsidRDefault="00942A70" w:rsidP="00763237">
            <w:pPr>
              <w:spacing w:after="40" w:line="276" w:lineRule="auto"/>
              <w:rPr>
                <w:sz w:val="22"/>
                <w:szCs w:val="22"/>
                <w:lang w:val="en-US"/>
              </w:rPr>
            </w:pPr>
            <w:hyperlink r:id="rId16" w:history="1">
              <w:r w:rsidRPr="00942A70">
                <w:rPr>
                  <w:rStyle w:val="Hyperlink"/>
                  <w:sz w:val="22"/>
                  <w:szCs w:val="22"/>
                  <w:lang w:val="en-US"/>
                </w:rPr>
                <w:t>Child Abuse Risk Evaluation (Care-NL)</w:t>
              </w:r>
            </w:hyperlink>
          </w:p>
        </w:tc>
        <w:tc>
          <w:tcPr>
            <w:tcW w:w="5948" w:type="dxa"/>
          </w:tcPr>
          <w:p w14:paraId="0BF23A73" w14:textId="77777777" w:rsidR="00942A70" w:rsidRPr="00942A70" w:rsidRDefault="00942A70" w:rsidP="00763237">
            <w:pPr>
              <w:spacing w:after="40" w:line="276" w:lineRule="auto"/>
              <w:rPr>
                <w:sz w:val="22"/>
                <w:szCs w:val="22"/>
              </w:rPr>
            </w:pPr>
            <w:r w:rsidRPr="00942A70">
              <w:rPr>
                <w:sz w:val="22"/>
                <w:szCs w:val="22"/>
              </w:rPr>
              <w:t>De CARE- NL is een gestructureerde vragenlijst voor de inschatting van het risico op kindermishandeling.</w:t>
            </w:r>
          </w:p>
        </w:tc>
      </w:tr>
      <w:tr w:rsidR="00942A70" w:rsidRPr="00942A70" w14:paraId="466DD8FE" w14:textId="77777777" w:rsidTr="00763237">
        <w:tc>
          <w:tcPr>
            <w:tcW w:w="279" w:type="dxa"/>
            <w:shd w:val="clear" w:color="auto" w:fill="0070C0"/>
          </w:tcPr>
          <w:p w14:paraId="61C853EA" w14:textId="77777777" w:rsidR="00942A70" w:rsidRPr="00942A70" w:rsidRDefault="00942A70" w:rsidP="00763237">
            <w:pPr>
              <w:spacing w:after="40" w:line="276" w:lineRule="auto"/>
              <w:rPr>
                <w:sz w:val="22"/>
                <w:szCs w:val="22"/>
              </w:rPr>
            </w:pPr>
          </w:p>
        </w:tc>
        <w:tc>
          <w:tcPr>
            <w:tcW w:w="2835" w:type="dxa"/>
          </w:tcPr>
          <w:p w14:paraId="5D481E5C" w14:textId="77777777" w:rsidR="00942A70" w:rsidRPr="00942A70" w:rsidRDefault="00942A70" w:rsidP="00763237">
            <w:pPr>
              <w:spacing w:after="40" w:line="276" w:lineRule="auto"/>
              <w:rPr>
                <w:sz w:val="22"/>
                <w:szCs w:val="22"/>
              </w:rPr>
            </w:pPr>
            <w:hyperlink r:id="rId17" w:history="1">
              <w:r w:rsidRPr="00942A70">
                <w:rPr>
                  <w:rStyle w:val="Hyperlink"/>
                  <w:sz w:val="22"/>
                  <w:szCs w:val="22"/>
                </w:rPr>
                <w:t>Actuarieel Risicotaxatie Instrument voor Jeugdbescherming (ARIJ)</w:t>
              </w:r>
            </w:hyperlink>
          </w:p>
        </w:tc>
        <w:tc>
          <w:tcPr>
            <w:tcW w:w="5948" w:type="dxa"/>
          </w:tcPr>
          <w:p w14:paraId="32C18DE8" w14:textId="77777777" w:rsidR="00942A70" w:rsidRPr="00942A70" w:rsidRDefault="00942A70" w:rsidP="00763237">
            <w:pPr>
              <w:spacing w:after="40" w:line="276" w:lineRule="auto"/>
              <w:rPr>
                <w:sz w:val="22"/>
                <w:szCs w:val="22"/>
              </w:rPr>
            </w:pPr>
            <w:r w:rsidRPr="00942A70">
              <w:rPr>
                <w:sz w:val="22"/>
                <w:szCs w:val="22"/>
              </w:rPr>
              <w:t xml:space="preserve">De ARIJ bestaat uit twee onderdelen. Een veiligheidstaxatie bedoeld om de directe onveiligheid van kinderen vast te stellen (moet er onmiddellijk ingegrepen worden om het kind veilig te stellen?). En een risicotaxatie om het risico op toekomstige onveiligheid in te schatten, dit bestaat uit statische en dynamische risicofactoren. </w:t>
            </w:r>
          </w:p>
        </w:tc>
      </w:tr>
    </w:tbl>
    <w:p w14:paraId="7F2A6EB2" w14:textId="77777777" w:rsidR="00942A70" w:rsidRPr="00942A70" w:rsidRDefault="00942A70" w:rsidP="00942A70">
      <w:pPr>
        <w:keepNext/>
        <w:spacing w:after="0" w:line="276" w:lineRule="auto"/>
        <w:rPr>
          <w:i/>
          <w:iCs/>
          <w:szCs w:val="22"/>
        </w:rPr>
      </w:pPr>
      <w:r w:rsidRPr="00942A70">
        <w:rPr>
          <w:i/>
          <w:iCs/>
          <w:szCs w:val="22"/>
        </w:rPr>
        <w:t>Meer informatie:</w:t>
      </w:r>
    </w:p>
    <w:p w14:paraId="19E5AE7C" w14:textId="77777777" w:rsidR="00942A70" w:rsidRPr="00942A70" w:rsidRDefault="00942A70" w:rsidP="00942A70">
      <w:pPr>
        <w:numPr>
          <w:ilvl w:val="0"/>
          <w:numId w:val="1"/>
        </w:numPr>
        <w:spacing w:after="0" w:line="276" w:lineRule="auto"/>
        <w:rPr>
          <w:szCs w:val="22"/>
        </w:rPr>
      </w:pPr>
      <w:r w:rsidRPr="00942A70">
        <w:rPr>
          <w:szCs w:val="22"/>
        </w:rPr>
        <w:t xml:space="preserve">Databank met instrumenten gericht op jeugd vind je bij het </w:t>
      </w:r>
      <w:hyperlink r:id="rId18" w:history="1">
        <w:r w:rsidRPr="00942A70">
          <w:rPr>
            <w:rStyle w:val="Hyperlink"/>
            <w:szCs w:val="22"/>
          </w:rPr>
          <w:t>NJI</w:t>
        </w:r>
      </w:hyperlink>
      <w:r w:rsidRPr="00942A70">
        <w:rPr>
          <w:szCs w:val="22"/>
        </w:rPr>
        <w:t>.</w:t>
      </w:r>
    </w:p>
    <w:p w14:paraId="1B637C6D" w14:textId="77777777" w:rsidR="00942A70" w:rsidRPr="00942A70" w:rsidRDefault="00942A70" w:rsidP="00942A70">
      <w:pPr>
        <w:numPr>
          <w:ilvl w:val="0"/>
          <w:numId w:val="1"/>
        </w:numPr>
        <w:spacing w:after="0" w:line="276" w:lineRule="auto"/>
        <w:rPr>
          <w:szCs w:val="22"/>
        </w:rPr>
      </w:pPr>
      <w:r w:rsidRPr="00942A70">
        <w:rPr>
          <w:szCs w:val="22"/>
        </w:rPr>
        <w:t xml:space="preserve">Erkende interventies vind je in de databanken van het </w:t>
      </w:r>
      <w:hyperlink r:id="rId19" w:history="1">
        <w:r w:rsidRPr="00942A70">
          <w:rPr>
            <w:rStyle w:val="Hyperlink"/>
            <w:szCs w:val="22"/>
          </w:rPr>
          <w:t>NJI</w:t>
        </w:r>
      </w:hyperlink>
      <w:r w:rsidRPr="00942A70">
        <w:rPr>
          <w:szCs w:val="22"/>
        </w:rPr>
        <w:t xml:space="preserve"> en van </w:t>
      </w:r>
      <w:hyperlink r:id="rId20" w:history="1">
        <w:proofErr w:type="spellStart"/>
        <w:r w:rsidRPr="00942A70">
          <w:rPr>
            <w:rStyle w:val="Hyperlink"/>
            <w:szCs w:val="22"/>
          </w:rPr>
          <w:t>Movisie</w:t>
        </w:r>
        <w:proofErr w:type="spellEnd"/>
      </w:hyperlink>
      <w:r w:rsidRPr="00942A70">
        <w:rPr>
          <w:szCs w:val="22"/>
        </w:rPr>
        <w:t>.</w:t>
      </w:r>
    </w:p>
    <w:p w14:paraId="2D052F6A" w14:textId="560B3B18" w:rsidR="005F6444" w:rsidRPr="00942A70" w:rsidRDefault="00942A70" w:rsidP="00942A70">
      <w:pPr>
        <w:numPr>
          <w:ilvl w:val="0"/>
          <w:numId w:val="1"/>
        </w:numPr>
        <w:spacing w:after="0" w:line="276" w:lineRule="auto"/>
        <w:rPr>
          <w:szCs w:val="22"/>
        </w:rPr>
      </w:pPr>
      <w:r w:rsidRPr="00942A70">
        <w:rPr>
          <w:szCs w:val="22"/>
        </w:rPr>
        <w:t xml:space="preserve">Onderzoek naar instrumenten voor risicotaxatie en veiligheidsbeoordeling ter voorkoming van fataal geweld; </w:t>
      </w:r>
      <w:hyperlink r:id="rId21" w:history="1">
        <w:r w:rsidRPr="00942A70">
          <w:rPr>
            <w:rStyle w:val="Hyperlink"/>
            <w:szCs w:val="22"/>
          </w:rPr>
          <w:t>Goed kijken en echt zien</w:t>
        </w:r>
      </w:hyperlink>
      <w:r w:rsidRPr="00942A70">
        <w:rPr>
          <w:szCs w:val="22"/>
        </w:rPr>
        <w:t xml:space="preserve"> (Regioplan).</w:t>
      </w:r>
    </w:p>
    <w:sectPr w:rsidR="005F6444" w:rsidRPr="00942A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7AAC" w14:textId="77777777" w:rsidR="00ED79C6" w:rsidRDefault="00ED79C6" w:rsidP="00942A70">
      <w:pPr>
        <w:spacing w:after="0" w:line="240" w:lineRule="auto"/>
      </w:pPr>
      <w:r>
        <w:separator/>
      </w:r>
    </w:p>
  </w:endnote>
  <w:endnote w:type="continuationSeparator" w:id="0">
    <w:p w14:paraId="6B45B27E" w14:textId="77777777" w:rsidR="00ED79C6" w:rsidRDefault="00ED79C6" w:rsidP="0094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EAEC" w14:textId="77777777" w:rsidR="00ED79C6" w:rsidRDefault="00ED79C6" w:rsidP="00942A70">
      <w:pPr>
        <w:spacing w:after="0" w:line="240" w:lineRule="auto"/>
      </w:pPr>
      <w:r>
        <w:separator/>
      </w:r>
    </w:p>
  </w:footnote>
  <w:footnote w:type="continuationSeparator" w:id="0">
    <w:p w14:paraId="67A1E2E9" w14:textId="77777777" w:rsidR="00ED79C6" w:rsidRDefault="00ED79C6" w:rsidP="00942A70">
      <w:pPr>
        <w:spacing w:after="0" w:line="240" w:lineRule="auto"/>
      </w:pPr>
      <w:r>
        <w:continuationSeparator/>
      </w:r>
    </w:p>
  </w:footnote>
  <w:footnote w:id="1">
    <w:p w14:paraId="3FA23D26" w14:textId="77777777" w:rsidR="00942A70" w:rsidRDefault="00942A70" w:rsidP="00942A70">
      <w:pPr>
        <w:pStyle w:val="Voetnoottekst"/>
      </w:pPr>
      <w:r>
        <w:rPr>
          <w:rStyle w:val="Voetnootmarkering"/>
        </w:rPr>
        <w:footnoteRef/>
      </w:r>
      <w:r>
        <w:t xml:space="preserve"> </w:t>
      </w:r>
      <w:r w:rsidRPr="008D6E0C">
        <w:rPr>
          <w:sz w:val="16"/>
          <w:szCs w:val="16"/>
        </w:rPr>
        <w:t xml:space="preserve">Deze selectie van instrumenten is </w:t>
      </w:r>
      <w:r>
        <w:rPr>
          <w:sz w:val="16"/>
          <w:szCs w:val="16"/>
        </w:rPr>
        <w:t>tot stand gekomen i.s.m.</w:t>
      </w:r>
      <w:r w:rsidRPr="008D6E0C">
        <w:rPr>
          <w:sz w:val="16"/>
          <w:szCs w:val="16"/>
        </w:rPr>
        <w:t xml:space="preserve"> de werkgroep onderzoek en analyse. </w:t>
      </w:r>
      <w:r>
        <w:rPr>
          <w:sz w:val="16"/>
          <w:szCs w:val="16"/>
        </w:rPr>
        <w:t>Deze</w:t>
      </w:r>
      <w:r w:rsidRPr="008D6E0C">
        <w:rPr>
          <w:sz w:val="16"/>
          <w:szCs w:val="16"/>
        </w:rPr>
        <w:t xml:space="preserve"> instrumenten </w:t>
      </w:r>
      <w:r>
        <w:rPr>
          <w:sz w:val="16"/>
          <w:szCs w:val="16"/>
        </w:rPr>
        <w:t>worden</w:t>
      </w:r>
      <w:r w:rsidRPr="008D6E0C">
        <w:rPr>
          <w:sz w:val="16"/>
          <w:szCs w:val="16"/>
        </w:rPr>
        <w:t xml:space="preserve"> in de praktijk </w:t>
      </w:r>
      <w:r>
        <w:rPr>
          <w:sz w:val="16"/>
          <w:szCs w:val="16"/>
        </w:rPr>
        <w:t>gebruikt en bruikbaar bevonden</w:t>
      </w:r>
      <w:r w:rsidRPr="008D6E0C">
        <w:rPr>
          <w:sz w:val="16"/>
          <w:szCs w:val="16"/>
        </w:rPr>
        <w:t xml:space="preserve">. </w:t>
      </w:r>
      <w:r>
        <w:rPr>
          <w:sz w:val="16"/>
          <w:szCs w:val="16"/>
        </w:rPr>
        <w:t xml:space="preserve">Dit </w:t>
      </w:r>
      <w:r w:rsidRPr="008D6E0C">
        <w:rPr>
          <w:sz w:val="16"/>
          <w:szCs w:val="16"/>
        </w:rPr>
        <w:t>overzicht zal niet volledig zijn</w:t>
      </w:r>
      <w:r>
        <w:rPr>
          <w:sz w:val="16"/>
          <w:szCs w:val="16"/>
        </w:rPr>
        <w:t xml:space="preserve"> en de instrumenten zijn niet getoetst op validiteit.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0680"/>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538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70"/>
    <w:rsid w:val="005F6444"/>
    <w:rsid w:val="00942A70"/>
    <w:rsid w:val="00CB06AB"/>
    <w:rsid w:val="00ED79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72D7"/>
  <w15:chartTrackingRefBased/>
  <w15:docId w15:val="{694CCC09-DEA8-43EF-BD54-46FAF03D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A70"/>
    <w:pPr>
      <w:spacing w:line="279" w:lineRule="auto"/>
    </w:pPr>
    <w:rPr>
      <w:rFonts w:ascii="Calibri" w:hAnsi="Calibri"/>
      <w:kern w:val="0"/>
      <w:szCs w:val="24"/>
      <w14:ligatures w14:val="none"/>
    </w:rPr>
  </w:style>
  <w:style w:type="paragraph" w:styleId="Kop1">
    <w:name w:val="heading 1"/>
    <w:basedOn w:val="Standaard"/>
    <w:next w:val="Standaard"/>
    <w:link w:val="Kop1Char"/>
    <w:uiPriority w:val="9"/>
    <w:qFormat/>
    <w:rsid w:val="00942A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42A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42A7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42A7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42A7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42A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2A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2A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2A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2A7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42A7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42A7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42A7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42A7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42A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2A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2A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2A70"/>
    <w:rPr>
      <w:rFonts w:eastAsiaTheme="majorEastAsia" w:cstheme="majorBidi"/>
      <w:color w:val="272727" w:themeColor="text1" w:themeTint="D8"/>
    </w:rPr>
  </w:style>
  <w:style w:type="paragraph" w:styleId="Titel">
    <w:name w:val="Title"/>
    <w:basedOn w:val="Standaard"/>
    <w:next w:val="Standaard"/>
    <w:link w:val="TitelChar"/>
    <w:uiPriority w:val="10"/>
    <w:qFormat/>
    <w:rsid w:val="00942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2A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2A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2A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2A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2A70"/>
    <w:rPr>
      <w:i/>
      <w:iCs/>
      <w:color w:val="404040" w:themeColor="text1" w:themeTint="BF"/>
    </w:rPr>
  </w:style>
  <w:style w:type="paragraph" w:styleId="Lijstalinea">
    <w:name w:val="List Paragraph"/>
    <w:basedOn w:val="Standaard"/>
    <w:uiPriority w:val="34"/>
    <w:qFormat/>
    <w:rsid w:val="00942A70"/>
    <w:pPr>
      <w:ind w:left="720"/>
      <w:contextualSpacing/>
    </w:pPr>
  </w:style>
  <w:style w:type="character" w:styleId="Intensievebenadrukking">
    <w:name w:val="Intense Emphasis"/>
    <w:basedOn w:val="Standaardalinea-lettertype"/>
    <w:uiPriority w:val="21"/>
    <w:qFormat/>
    <w:rsid w:val="00942A70"/>
    <w:rPr>
      <w:i/>
      <w:iCs/>
      <w:color w:val="2F5496" w:themeColor="accent1" w:themeShade="BF"/>
    </w:rPr>
  </w:style>
  <w:style w:type="paragraph" w:styleId="Duidelijkcitaat">
    <w:name w:val="Intense Quote"/>
    <w:basedOn w:val="Standaard"/>
    <w:next w:val="Standaard"/>
    <w:link w:val="DuidelijkcitaatChar"/>
    <w:uiPriority w:val="30"/>
    <w:qFormat/>
    <w:rsid w:val="00942A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42A70"/>
    <w:rPr>
      <w:i/>
      <w:iCs/>
      <w:color w:val="2F5496" w:themeColor="accent1" w:themeShade="BF"/>
    </w:rPr>
  </w:style>
  <w:style w:type="character" w:styleId="Intensieveverwijzing">
    <w:name w:val="Intense Reference"/>
    <w:basedOn w:val="Standaardalinea-lettertype"/>
    <w:uiPriority w:val="32"/>
    <w:qFormat/>
    <w:rsid w:val="00942A70"/>
    <w:rPr>
      <w:b/>
      <w:bCs/>
      <w:smallCaps/>
      <w:color w:val="2F5496" w:themeColor="accent1" w:themeShade="BF"/>
      <w:spacing w:val="5"/>
    </w:rPr>
  </w:style>
  <w:style w:type="table" w:styleId="Tabelraster">
    <w:name w:val="Table Grid"/>
    <w:basedOn w:val="Standaardtabel"/>
    <w:uiPriority w:val="39"/>
    <w:rsid w:val="00942A7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42A7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42A70"/>
    <w:rPr>
      <w:rFonts w:ascii="Calibri" w:hAnsi="Calibri"/>
      <w:kern w:val="0"/>
      <w:sz w:val="20"/>
      <w:szCs w:val="20"/>
      <w14:ligatures w14:val="none"/>
    </w:rPr>
  </w:style>
  <w:style w:type="character" w:styleId="Voetnootmarkering">
    <w:name w:val="footnote reference"/>
    <w:basedOn w:val="Standaardalinea-lettertype"/>
    <w:uiPriority w:val="99"/>
    <w:semiHidden/>
    <w:unhideWhenUsed/>
    <w:rsid w:val="00942A70"/>
    <w:rPr>
      <w:vertAlign w:val="superscript"/>
    </w:rPr>
  </w:style>
  <w:style w:type="character" w:styleId="Hyperlink">
    <w:name w:val="Hyperlink"/>
    <w:basedOn w:val="Standaardalinea-lettertype"/>
    <w:uiPriority w:val="99"/>
    <w:unhideWhenUsed/>
    <w:rsid w:val="00942A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gnalenkaart.nl" TargetMode="External"/><Relationship Id="rId13" Type="http://schemas.openxmlformats.org/officeDocument/2006/relationships/hyperlink" Target="https://www.civilcare.nl/home/default.aspx" TargetMode="External"/><Relationship Id="rId18" Type="http://schemas.openxmlformats.org/officeDocument/2006/relationships/hyperlink" Target="https://linkprotect.cudasvc.com/url?a=https%3a%2f%2fwww.nji.nl%2fdatabanken%2finstrumenten&amp;c=E,1,0kInaYM4SNvag7gljCPbzoOHtZo_hEHhpCuPQabP3VvT2ZBqYKVDnSccW7msZwVTfS0m81PGtnXB0dgsdZB7CQJiA6Heb-aXQe7SikSevBZU5M3vagyxTA,,&amp;typo=1" TargetMode="External"/><Relationship Id="rId3" Type="http://schemas.openxmlformats.org/officeDocument/2006/relationships/settings" Target="settings.xml"/><Relationship Id="rId21" Type="http://schemas.openxmlformats.org/officeDocument/2006/relationships/hyperlink" Target="https://www.regioplan.nl/wp-content/uploads/2025/07/25045-Eindrapport-Risicotaxatie-en-veiligheidsbeoordeling-ter-voorkoming-van-fataal-geweld-Regioplan-11dec25.pdf" TargetMode="External"/><Relationship Id="rId7" Type="http://schemas.openxmlformats.org/officeDocument/2006/relationships/hyperlink" Target="http://www.meldcode.nl" TargetMode="External"/><Relationship Id="rId12" Type="http://schemas.openxmlformats.org/officeDocument/2006/relationships/hyperlink" Target="https://www.conflictscheiding.eu/masic-training/" TargetMode="External"/><Relationship Id="rId17" Type="http://schemas.openxmlformats.org/officeDocument/2006/relationships/hyperlink" Target="https://www.nji.nl/databanken/instrumenten/actuarieel-risicotaxatie-instrument-voor-jeugdbescherming-arij" TargetMode="External"/><Relationship Id="rId2" Type="http://schemas.openxmlformats.org/officeDocument/2006/relationships/styles" Target="styles.xml"/><Relationship Id="rId16" Type="http://schemas.openxmlformats.org/officeDocument/2006/relationships/hyperlink" Target="https://www.nji.nl/instrumenten/child-abuse-risk-evaluation-nederland-care-nl" TargetMode="External"/><Relationship Id="rId20" Type="http://schemas.openxmlformats.org/officeDocument/2006/relationships/hyperlink" Target="https://www.movisie.nl/databank-erkende-sociale-interventies?gad_source=1&amp;gad_campaignid=1532798327&amp;gclid=EAIaIQobChMI0eT8-N6GkgMVwoGDBx15viSMEAAYASAAEgJDsPD_Bw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flictscheiding.eu/training-nichd-interview-protocol/" TargetMode="External"/><Relationship Id="rId5" Type="http://schemas.openxmlformats.org/officeDocument/2006/relationships/footnotes" Target="footnotes.xml"/><Relationship Id="rId15" Type="http://schemas.openxmlformats.org/officeDocument/2006/relationships/hyperlink" Target="https://gezinsprofielen.augeo.nl/augeo-special-gezinsprofielen/augeo-kennis-gezinsprofielen" TargetMode="External"/><Relationship Id="rId23" Type="http://schemas.openxmlformats.org/officeDocument/2006/relationships/theme" Target="theme/theme1.xml"/><Relationship Id="rId10" Type="http://schemas.openxmlformats.org/officeDocument/2006/relationships/hyperlink" Target="https://www.valente.nl/kennisbank/risicoscreening-geweld-in-afhankelijkheidsrelaties-vrouwenopvang/" TargetMode="External"/><Relationship Id="rId19" Type="http://schemas.openxmlformats.org/officeDocument/2006/relationships/hyperlink" Target="https://www.nji.nl/databanken/interventies" TargetMode="External"/><Relationship Id="rId4" Type="http://schemas.openxmlformats.org/officeDocument/2006/relationships/webSettings" Target="webSettings.xml"/><Relationship Id="rId9" Type="http://schemas.openxmlformats.org/officeDocument/2006/relationships/hyperlink" Target="https://www.movisie.nl/sites/movisie.nl/files/2018-04/Triage-instrument-Veilig-Thuis.pdf" TargetMode="External"/><Relationship Id="rId14" Type="http://schemas.openxmlformats.org/officeDocument/2006/relationships/hyperlink" Target="https://www.movisie.nl/sites/default/files/2019-12/methodebeschrijving-signs-of-safety.pdf"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3370</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Sturm, K.A. - BD/DGSB/TKG</dc:creator>
  <cp:keywords/>
  <dc:description/>
  <cp:lastModifiedBy>Sturm, K.A. - BD/DGSB/TKG</cp:lastModifiedBy>
  <cp:revision>1</cp:revision>
  <dcterms:created xsi:type="dcterms:W3CDTF">2026-02-04T11:27:00Z</dcterms:created>
  <dcterms:modified xsi:type="dcterms:W3CDTF">2026-02-04T11:28:00Z</dcterms:modified>
</cp:coreProperties>
</file>